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center"/>
        <w:spacing w:before="0" w:after="0" w:line="20" w:lineRule="atLeast"/>
        <w:rPr>
          <w:b/>
          <w:lang w:val="uz-Cyrl-UZ"/>
        </w:rPr>
      </w:pPr>
      <w:r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 xml:space="preserve">ПК-9</w:t>
      </w:r>
      <w:r>
        <w:rPr>
          <w:b/>
          <w:lang w:val="uz-Cyrl-UZ"/>
        </w:rPr>
      </w:r>
    </w:p>
    <w:p>
      <w:pPr>
        <w:ind w:left="0" w:hanging="2"/>
        <w:spacing w:before="0" w:after="0" w:line="20" w:lineRule="atLeast"/>
        <w:rPr>
          <w:lang w:val="uz-Cyrl-UZ"/>
        </w:rPr>
      </w:pPr>
      <w:r>
        <w:rPr>
          <w:lang w:val="uz-Cyrl-UZ"/>
        </w:rPr>
      </w:r>
      <w:r>
        <w:rPr>
          <w:lang w:val="uz-Cyrl-UZ"/>
        </w:rPr>
      </w:r>
    </w:p>
    <w:tbl>
      <w:tblPr>
        <w:tblW w:w="10915" w:type="dxa"/>
        <w:tblInd w:w="-1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>
        <w:tblPrEx/>
        <w:trPr/>
        <w:tc>
          <w:tcPr>
            <w:tcW w:w="434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TimesNewRomanPSMT"/>
                <w:bCs/>
                <w:lang w:val="uz-Cyrl-UZ"/>
              </w:rPr>
              <w:t xml:space="preserve">ПК-9</w:t>
            </w:r>
            <w:r>
              <w:rPr>
                <w:rFonts w:eastAsia="TimesNewRomanPSMT"/>
                <w:bCs/>
              </w:rPr>
              <w:tab/>
            </w:r>
            <w:r>
              <w:rPr>
                <w:rFonts w:eastAsia="TimesNewRomanPSMT"/>
              </w:rPr>
      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>
              <w:rPr>
                <w:color w:val="000000"/>
              </w:rPr>
            </w:r>
          </w:p>
        </w:tc>
        <w:tc>
          <w:tcPr>
            <w:tcW w:w="6566" w:type="dxa"/>
            <w:textDirection w:val="lrTb"/>
            <w:noWrap w:val="false"/>
          </w:tcPr>
          <w:p>
            <w:pPr>
              <w:ind w:left="0" w:hanging="2"/>
              <w:jc w:val="both"/>
              <w:spacing w:after="0" w:line="240" w:lineRule="auto"/>
            </w:pPr>
            <w:r>
              <w:t xml:space="preserve">З-</w:t>
            </w:r>
            <w:r>
              <w:t xml:space="preserve">ПК-9</w:t>
            </w:r>
            <w:r>
              <w:t xml:space="preserve"> Знать: </w:t>
            </w:r>
            <w:r>
              <w:t xml:space="preserve">- </w:t>
            </w:r>
            <w:r>
              <w:t xml:space="preserve">формы и методы организации гигиенического образования и воспитания населения</w:t>
            </w:r>
            <w:r>
              <w:t xml:space="preserve">; - о</w:t>
            </w:r>
            <w:r>
              <w:t xml:space="preserve">сновные факторы риска, оказывающие влияние на состояние здоровья</w:t>
            </w:r>
            <w:r>
              <w:t xml:space="preserve">; - х</w:t>
            </w:r>
            <w:r>
              <w:t xml:space="preserve">ронические неинфекционные заболевания, вносящие наибольший вклад в структуру смертности</w:t>
            </w:r>
            <w:r>
              <w:t xml:space="preserve">; -г</w:t>
            </w:r>
            <w:r>
              <w:t xml:space="preserve">лавные составляющие здорового образа </w:t>
            </w:r>
            <w:r>
              <w:t xml:space="preserve">жизни.</w:t>
            </w:r>
            <w:r>
              <w:t xml:space="preserve">.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У-</w:t>
            </w:r>
            <w:r>
              <w:t xml:space="preserve">ПК-9</w:t>
            </w:r>
            <w:r>
              <w:t xml:space="preserve"> </w:t>
            </w:r>
            <w:r>
              <w:t xml:space="preserve">Уметь: </w:t>
            </w:r>
            <w:r>
              <w:t xml:space="preserve">- о</w:t>
            </w:r>
            <w:r>
              <w:t xml:space="preserve">рганизовать работу по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  <w:r>
              <w:t xml:space="preserve">; - а</w:t>
            </w:r>
            <w:r>
              <w:t xml:space="preserve">нализировать значение различных факторов в формировании индивидуального здоровья человека и населения страны, города, села, объяснять влияние различных факторов на здоровье человека</w:t>
            </w:r>
            <w:r>
              <w:t xml:space="preserve">; - у</w:t>
            </w:r>
            <w:r>
              <w:t xml:space="preserve">станавливать взаимосвязь между индивидуальным здоровьем человека и здоровьем населения города, страны.</w:t>
            </w:r>
            <w:r>
              <w:t xml:space="preserve">.</w:t>
            </w:r>
            <w:r>
              <w:t xml:space="preserve"> </w:t>
            </w:r>
            <w:r/>
          </w:p>
          <w:p>
            <w:pPr>
              <w:ind w:left="0" w:hanging="2"/>
              <w:jc w:val="both"/>
              <w:spacing w:before="0" w:after="0" w:line="20" w:lineRule="atLeas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t xml:space="preserve">В-</w:t>
            </w:r>
            <w:r>
              <w:t xml:space="preserve">ПК-9</w:t>
            </w:r>
            <w:r>
              <w:t xml:space="preserve"> Владеть: </w:t>
            </w:r>
            <w:r>
              <w:t xml:space="preserve">- </w:t>
            </w:r>
            <w:r>
              <w:t xml:space="preserve">ал</w:t>
            </w:r>
            <w:r>
              <w:t xml:space="preserve">горитмом организации диспансерного наблюдения декретированных контингентов населения и пациентов с хроническими заболеваниями.</w:t>
            </w:r>
            <w:r>
              <w:rPr>
                <w:color w:val="000000"/>
              </w:rPr>
            </w:r>
          </w:p>
        </w:tc>
      </w:tr>
    </w:tbl>
    <w:p>
      <w:pPr>
        <w:ind w:left="0" w:hanging="2"/>
        <w:spacing w:before="0" w:after="0" w:line="20" w:lineRule="atLeast"/>
      </w:pPr>
      <w:r/>
      <w:r/>
    </w:p>
    <w:p>
      <w:pPr>
        <w:ind w:left="0" w:hanging="2"/>
        <w:spacing w:before="0" w:after="0" w:line="20" w:lineRule="atLeast"/>
      </w:pPr>
      <w:r/>
      <w:r/>
    </w:p>
    <w:tbl>
      <w:tblPr>
        <w:tblStyle w:val="665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Перечень дисциплин</w:t>
            </w:r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ind w:left="0" w:hanging="2"/>
              <w:jc w:val="both"/>
              <w:spacing w:before="0" w:after="0" w:line="20" w:lineRule="atLeast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Обязательные дисциплины</w:t>
            </w:r>
            <w:r>
              <w:rPr>
                <w:u w:val="single"/>
              </w:rPr>
              <w:t xml:space="preserve">:</w:t>
            </w:r>
            <w:r>
              <w:rPr>
                <w:u w:val="single"/>
              </w:rPr>
            </w:r>
          </w:p>
          <w:p>
            <w:pPr>
              <w:ind w:left="0" w:hanging="2"/>
              <w:jc w:val="both"/>
              <w:spacing w:before="0" w:after="0" w:line="20" w:lineRule="atLeast"/>
              <w:rPr>
                <w:lang w:val="uz-Cyrl-UZ"/>
              </w:rPr>
            </w:pPr>
            <w:r>
              <w:t xml:space="preserve">Общественное здоровье и организация здравоохранения</w:t>
            </w:r>
            <w:r>
              <w:t xml:space="preserve"> </w:t>
            </w:r>
            <w:r>
              <w:t xml:space="preserve">–</w:t>
            </w:r>
            <w:r>
              <w:rPr>
                <w:lang w:val="uz-Cyrl-UZ"/>
              </w:rPr>
              <w:t xml:space="preserve"> 1 семестр</w:t>
            </w:r>
            <w:r>
              <w:rPr>
                <w:lang w:val="uz-Cyrl-UZ"/>
              </w:rPr>
            </w:r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Педагогика</w:t>
            </w:r>
            <w:r>
              <w:t xml:space="preserve"> </w:t>
            </w:r>
            <w:r>
              <w:t xml:space="preserve">– </w:t>
            </w:r>
            <w:r>
              <w:t xml:space="preserve">1</w:t>
            </w:r>
            <w:r>
              <w:t xml:space="preserve"> семестр</w:t>
            </w:r>
            <w:r/>
          </w:p>
          <w:p>
            <w:pPr>
              <w:ind w:left="0" w:hanging="2"/>
              <w:jc w:val="both"/>
              <w:spacing w:before="0" w:after="0" w:line="20" w:lineRule="atLeast"/>
            </w:pPr>
            <w:r>
              <w:t xml:space="preserve">Производственная (клиническая) практика</w:t>
            </w:r>
            <w:r>
              <w:t xml:space="preserve"> – 1,2 семестры</w:t>
            </w:r>
            <w:r/>
          </w:p>
        </w:tc>
      </w:tr>
    </w:tbl>
    <w:p>
      <w:pPr>
        <w:contextualSpacing/>
        <w:ind w:left="0" w:firstLine="0"/>
        <w:spacing w:before="0" w:after="0" w:line="20" w:lineRule="atLeast"/>
        <w:outlineLvl w:val="9"/>
      </w:pPr>
      <w:r/>
      <w:r/>
    </w:p>
    <w:p>
      <w:pPr>
        <w:contextualSpacing/>
        <w:ind w:left="0" w:firstLine="0"/>
        <w:spacing w:before="0" w:after="0" w:line="20" w:lineRule="atLeast"/>
        <w:outlineLvl w:val="9"/>
      </w:pPr>
      <w:r/>
      <w:r/>
    </w:p>
    <w:tbl>
      <w:tblPr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>
        <w:tblPrEx/>
        <w:trPr>
          <w:trHeight w:val="300"/>
        </w:trPr>
        <w:tc>
          <w:tcPr>
            <w:tcW w:w="7655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Вопросы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Ответы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W w:w="10773" w:type="dxa"/>
            <w:vAlign w:val="bottom"/>
            <w:textDirection w:val="lrTb"/>
            <w:noWrap/>
          </w:tcPr>
          <w:p>
            <w:pPr>
              <w:ind w:left="-2" w:firstLine="0"/>
              <w:jc w:val="center"/>
              <w:spacing w:before="0"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Общественное здоровье и организация здравоохранения – 1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Какие формы гигиенического образования наиболее эффективны для профилактики бытового травматизма у пожилых?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Телепередачи, памятки, лекции в поликлиниках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Онлайн-курсы по биохимии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Уроки физкультуры в школах</w:t>
            </w:r>
            <w:r>
              <w:rPr>
                <w:iCs/>
              </w:rPr>
            </w:r>
          </w:p>
          <w:p>
            <w:pPr>
              <w:numPr>
                <w:ilvl w:val="0"/>
                <w:numId w:val="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Лекции о здоровом питании для молодёжи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перечисленного является социальной задачей системы здравоохранения при реабилитации травматологических пациентов?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Назначение медикаментов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Возвращение пациента к социальной активности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Оптимизация документооборота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3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Ведение регистров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компонент диспансерного наблюдения важен для пациентов после сложных травм?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Телемедицина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Периодическая оценка двигательной активности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Проверка санитарной книжки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5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Психологическое тестирование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фактор общественного здоровья оказывает наибольшее влияние на реабилитацию пациентов после травм?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Сезонность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Уровень медицинской грамотности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Состав воды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7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Политическая ситуация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из нижеуказанных факторов влияет как на индивидуальное здоровье, так и на популяционный уровень травматизма?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Генетика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Доступность ЛФК и образования по ЗОЖ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Погодные условия</w:t>
            </w:r>
            <w:r>
              <w:rPr>
                <w:iCs/>
              </w:rPr>
            </w:r>
          </w:p>
          <w:p>
            <w:pPr>
              <w:numPr>
                <w:ilvl w:val="0"/>
                <w:numId w:val="9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Пол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Что из нижеуказанного должно быть целью гигиенического консультирования после операции на позвоночнике?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Разработка диеты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Обучение самоконтролю, уходу, профилактике осложнений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Назначение физиопроцедур</w:t>
            </w:r>
            <w:r>
              <w:rPr>
                <w:iCs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Обсуждение условий проживания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Какой социально-гигиенический аспект способствует снижению травматизма на производстве?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Снижение рабочего времени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Повышение зарплаты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Обучение безопасному поведению</w:t>
            </w:r>
            <w:r>
              <w:rPr>
                <w:iCs/>
              </w:rPr>
            </w:r>
          </w:p>
          <w:p>
            <w:pPr>
              <w:numPr>
                <w:ilvl w:val="0"/>
                <w:numId w:val="12"/>
              </w:numPr>
              <w:jc w:val="both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Увеличение штрафов</w:t>
            </w:r>
            <w:r>
              <w:rPr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8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Какой ведущий фактор риска бытовых падений у пожилых?</w:t>
            </w:r>
            <w:r>
              <w:rPr>
                <w:rFonts w:eastAsia="Calibri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Плохое освещение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включает первичная профилактика остеопороза?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Физическая активность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оценивает диспансеризация у пациентов с травматологическими патологиями?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Функциональный статус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входит в задачи медицинской профилактики травматизма?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Гигиеническое обучение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социальный фактор снижает риск дорожно-транспортных травм?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Уровень образования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оценивает система здравоохранения для планирования профилактики травм?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Структура заболеваемости</w:t>
            </w:r>
            <w:r>
              <w:rPr>
                <w:color w:val="000000"/>
              </w:rPr>
            </w:r>
          </w:p>
        </w:tc>
      </w:tr>
      <w:tr>
        <w:tblPrEx/>
        <w:trPr>
          <w:trHeight w:val="317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входит в задачи социального педагога в травматологии?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0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мотивации к выздоровлению</w:t>
            </w:r>
            <w:r>
              <w:rPr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Педагогика – 1 семестр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Что входит в педагогическую цель гигиенического обучения пациента с ортопедической патологией?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Обеспечение госпитализации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Формирование осознанного отношения к здоровью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Увеличение длительности приёма медикаментов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Уведомление родственников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Какая педагогическая методика используется при мотивации пациента к физической реабилитации?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Обязательное направление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Игровое тестирование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Разъяснение пользы для восстановления функции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6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Принудительная мобилизация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вид педагогического подхода применяется в школах при обучении детей профилактике травм?</w:t>
            </w:r>
            <w:r/>
          </w:p>
          <w:p>
            <w:pPr>
              <w:pStyle w:val="66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Инструктажи и моделирование ситуаций</w:t>
            </w:r>
            <w:r/>
          </w:p>
          <w:p>
            <w:pPr>
              <w:pStyle w:val="66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Рассылка нормативных актов</w:t>
            </w:r>
            <w:r/>
          </w:p>
          <w:p>
            <w:pPr>
              <w:pStyle w:val="66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Анализ биохимических тестов</w:t>
            </w:r>
            <w:r/>
          </w:p>
          <w:p>
            <w:pPr>
              <w:pStyle w:val="667"/>
              <w:numPr>
                <w:ilvl w:val="0"/>
                <w:numId w:val="8"/>
              </w:numPr>
              <w:spacing w:before="0" w:beforeAutospacing="0" w:after="0" w:afterAutospacing="0"/>
            </w:pPr>
            <w:r>
              <w:t xml:space="preserve">Письменное анкетирование родителей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 можно педагогически воздействовать на пациента, игнорирующего реабилитационные упражнения?</w:t>
            </w:r>
            <w:r/>
          </w:p>
          <w:p>
            <w:pPr>
              <w:pStyle w:val="66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Угроза штрафа</w:t>
            </w:r>
            <w:r/>
          </w:p>
          <w:p>
            <w:pPr>
              <w:pStyle w:val="66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Обучающая беседа с разбором последствий бездействия</w:t>
            </w:r>
            <w:r/>
          </w:p>
          <w:p>
            <w:pPr>
              <w:pStyle w:val="66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Прерывание лечения</w:t>
            </w:r>
            <w:r/>
          </w:p>
          <w:p>
            <w:pPr>
              <w:pStyle w:val="667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Изоляция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является важнейшей педагогической задачей при работе с пациентами с высоким риском падений?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Увеличение числа приёмов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Обучение навыкам безопасного передвижения и самоконтролю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Назначение снотворных</w:t>
            </w:r>
            <w:r/>
          </w:p>
          <w:p>
            <w:pPr>
              <w:pStyle w:val="667"/>
              <w:numPr>
                <w:ilvl w:val="0"/>
                <w:numId w:val="15"/>
              </w:numPr>
              <w:spacing w:before="0" w:beforeAutospacing="0" w:after="0" w:afterAutospacing="0"/>
            </w:pPr>
            <w:r>
              <w:t xml:space="preserve">Выдача санаторной путёвки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метод педагогического воздействия наиболее эффективен для семей с детьми, перенесшими бытовую травму?</w:t>
            </w:r>
            <w:r/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Индивидуальные беседы и наглядные материалы</w:t>
            </w:r>
            <w:r/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Онлайн-курсы для врачей</w:t>
            </w:r>
            <w:r/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Инструкции в аптеке</w:t>
            </w:r>
            <w:r/>
          </w:p>
          <w:p>
            <w:pPr>
              <w:pStyle w:val="667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Объявления на подъездах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</w:t>
            </w:r>
            <w:r>
              <w:rPr>
                <w:rFonts w:eastAsia="Calibri"/>
                <w:iCs/>
              </w:rPr>
              <w:t xml:space="preserve"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метод обучения применяется при реабилитации пациентов после перелома?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Практическая демонстрация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8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педагогический приём повышает приверженность к лечению?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беседа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Какая форма обучения предпочтительна для школьников в теме профилактики травм?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Интерактив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влияет на эффективность ЛФК у пациентов с переломами?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Мотивация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способствует снижению повторных травм?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Обучение безопасности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является барьером в обучении пациентов пожилого возраста?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Когнитивные нарушения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41"/>
        </w:trPr>
        <w:tc>
          <w:tcPr>
            <w:gridSpan w:val="2"/>
            <w:tcW w:w="10773" w:type="dxa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Производственная (клиническая) практика – 1,2 семестры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1.</w:t>
            </w:r>
            <w:r>
              <w:rPr>
                <w:color w:val="000000"/>
              </w:rPr>
              <w:t xml:space="preserve"> </w:t>
            </w:r>
            <w:r>
              <w:rPr>
                <w:iCs/>
              </w:rPr>
              <w:t xml:space="preserve">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Какой из нижеперечисленных методов оценки общественного здоровья применяется в травматологии?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Оценка заболеваемости с утратой трудоспособности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Спирометрия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Холтеровское мониторирование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3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Бакпосев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left="-2" w:firstLine="0"/>
              <w:jc w:val="both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contextualSpacing/>
              <w:ind w:left="0" w:firstLine="0"/>
              <w:spacing w:before="0" w:after="0" w:line="240" w:lineRule="auto"/>
              <w:rPr>
                <w:iCs/>
              </w:rPr>
              <w:outlineLvl w:val="9"/>
            </w:pPr>
            <w:r>
              <w:rPr>
                <w:iCs/>
              </w:rPr>
              <w:t xml:space="preserve">2.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contextualSpacing/>
              <w:ind w:left="0" w:firstLine="0"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Какая цель диспансеризации у пациента с хронической ортопедической патологией?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Своевременное выявление обострений и профилактика инвалидности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Сбор статистики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Подготовка к операции</w:t>
            </w:r>
            <w:r>
              <w:rPr>
                <w:rFonts w:eastAsia="Calibri"/>
                <w:lang w:eastAsia="en-US"/>
              </w:rPr>
            </w:r>
          </w:p>
          <w:p>
            <w:pPr>
              <w:numPr>
                <w:ilvl w:val="0"/>
                <w:numId w:val="14"/>
              </w:numPr>
              <w:contextualSpacing/>
              <w:spacing w:before="0" w:after="0" w:line="240" w:lineRule="auto"/>
              <w:rPr>
                <w:rFonts w:eastAsia="Calibri"/>
                <w:lang w:eastAsia="en-US"/>
              </w:rPr>
              <w:outlineLvl w:val="9"/>
            </w:pPr>
            <w:r>
              <w:rPr>
                <w:rFonts w:eastAsia="Calibri"/>
                <w:lang w:eastAsia="en-US"/>
              </w:rPr>
              <w:t xml:space="preserve">Назначение госпитализации</w:t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3.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показатель общественного здоровья используется для оценки профилактической эффективности ЗОЖ-программ в травматологии?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Уровень осложнений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Индекс массы тела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Снижение повторных госпитализаций</w:t>
            </w:r>
            <w:r/>
          </w:p>
          <w:p>
            <w:pPr>
              <w:pStyle w:val="667"/>
              <w:numPr>
                <w:ilvl w:val="0"/>
                <w:numId w:val="16"/>
              </w:numPr>
              <w:spacing w:before="0" w:beforeAutospacing="0" w:after="0" w:afterAutospacing="0"/>
            </w:pPr>
            <w:r>
              <w:t xml:space="preserve">Время пребывания в больнице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4.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Что является основой профилактики дорожно-транспортного травматизма среди школьников?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Ношение шлемов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Педагогическое обучение правилам дорожного движения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Установка камер</w:t>
            </w:r>
            <w:r/>
          </w:p>
          <w:p>
            <w:pPr>
              <w:pStyle w:val="667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 xml:space="preserve">Введение комендантского часа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5.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гигиенический аспект наиболее важен при работе с травматологическими пациентами в условиях чрезвычайной ситуации?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Мотивация к отказу от вредных привычек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Соблюдение санитарно-эпидемиологических норм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Обучение ведению дневника самочувствия</w:t>
            </w:r>
            <w:r/>
          </w:p>
          <w:p>
            <w:pPr>
              <w:pStyle w:val="667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Проведение диспансеризации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6.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подход помогает увязать индивидуальное здоровье пациента после травмы с состоянием здоровья населения региона?</w:t>
            </w:r>
            <w:r/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Мониторинг и анализ причин травматизма</w:t>
            </w:r>
            <w:r/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Тестирование на COVID-19</w:t>
            </w:r>
            <w:r/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Назначение индивидуальных рецептов</w:t>
            </w:r>
            <w:r/>
          </w:p>
          <w:p>
            <w:pPr>
              <w:pStyle w:val="667"/>
              <w:numPr>
                <w:ilvl w:val="0"/>
                <w:numId w:val="20"/>
              </w:numPr>
              <w:spacing w:before="0" w:beforeAutospacing="0" w:after="0" w:afterAutospacing="0"/>
            </w:pPr>
            <w:r>
              <w:t xml:space="preserve">Измерение температуры тела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 xml:space="preserve">7.</w:t>
            </w:r>
            <w:r>
              <w:rPr>
                <w:iCs/>
              </w:rPr>
              <w:t xml:space="preserve"> Прочитайте задание и выберите верный вариант ответа: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</w:r>
          </w:p>
          <w:p>
            <w:pPr>
              <w:pStyle w:val="667"/>
              <w:spacing w:before="0" w:beforeAutospacing="0" w:after="0" w:afterAutospacing="0"/>
            </w:pPr>
            <w:r>
              <w:t xml:space="preserve">Какой педагогический приём наиболее эффективно формирует у пациента с переломом конечности мотивацию к выполнению упражнений лечебной физкультуры?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Демонстрация положительных примеров восстановления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Чтение медицинской литературы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Повторное направление к хирургу</w:t>
            </w:r>
            <w:r/>
          </w:p>
          <w:p>
            <w:pPr>
              <w:pStyle w:val="667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 xml:space="preserve">Назначение медикаментов без пояснений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8</w:t>
            </w:r>
            <w:r>
              <w:t xml:space="preserve">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Кто чаще нуждается в педагогическом сопровождении при реабилитации?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Пациенты с инвалидностью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9.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метод гигиенического воспитания подходит для семей с детьми-инвалидами?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Обучающие тренинги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10.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информационный канал лучше для пациентов старшего возраста?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Брошюры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11.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Что снижает риск контрактур у лежачих больных?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Ранняя мобилизация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12.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Что обеспечивает приверженность к режиму после операции на суставе?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сопровождение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13.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Что входит в состав ЗОЖ при ортопедических заболеваниях?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Лечебная гимнастика</w:t>
            </w:r>
            <w:r>
              <w:rPr>
                <w:color w:val="000000"/>
              </w:rPr>
            </w:r>
          </w:p>
        </w:tc>
      </w:tr>
      <w:tr>
        <w:tblPrEx/>
        <w:trPr>
          <w:trHeight w:val="384"/>
        </w:trPr>
        <w:tc>
          <w:tcPr>
            <w:tcW w:w="7655" w:type="dxa"/>
            <w:textDirection w:val="lrTb"/>
            <w:noWrap w:val="false"/>
          </w:tcPr>
          <w:p>
            <w:pPr>
              <w:pStyle w:val="667"/>
              <w:ind w:hanging="2"/>
              <w:spacing w:before="0" w:beforeAutospacing="0" w:after="0" w:afterAutospacing="0"/>
              <w:rPr>
                <w:rFonts w:eastAsia="Calibri"/>
              </w:rPr>
            </w:pPr>
            <w:r>
              <w:t xml:space="preserve">14.</w:t>
            </w:r>
            <w:r>
              <w:rPr>
                <w:rFonts w:eastAsia="Calibri"/>
                <w:iCs/>
              </w:rPr>
              <w:t xml:space="preserve">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  <w:r>
              <w:rPr>
                <w:rFonts w:eastAsia="Calibri"/>
              </w:rPr>
            </w:r>
          </w:p>
          <w:p>
            <w:pPr>
              <w:pStyle w:val="667"/>
              <w:ind w:hanging="2"/>
              <w:spacing w:before="0" w:beforeAutospacing="0" w:after="0" w:afterAutospacing="0"/>
            </w:pPr>
            <w:r>
              <w:t xml:space="preserve">Какой педагогический приём снижает тревожность перед операцией?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ind w:left="-2" w:firstLine="0"/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Информационная подготовка</w:t>
            </w:r>
            <w:r>
              <w:rPr>
                <w:color w:val="000000"/>
              </w:rPr>
            </w:r>
          </w:p>
        </w:tc>
      </w:tr>
    </w:tbl>
    <w:p>
      <w:pPr>
        <w:ind w:left="0" w:firstLine="0"/>
        <w:tabs>
          <w:tab w:val="left" w:pos="1800" w:leader="none"/>
        </w:tabs>
      </w:pPr>
      <w:r/>
      <w:r/>
    </w:p>
    <w:sectPr>
      <w:footnotePr/>
      <w:endnotePr/>
      <w:type w:val="nextPage"/>
      <w:pgSz w:w="11906" w:h="16838" w:orient="portrait"/>
      <w:pgMar w:top="426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/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14"/>
  </w:num>
  <w:num w:numId="7">
    <w:abstractNumId w:val="10"/>
  </w:num>
  <w:num w:numId="8">
    <w:abstractNumId w:val="16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  <w:num w:numId="13">
    <w:abstractNumId w:val="5"/>
  </w:num>
  <w:num w:numId="14">
    <w:abstractNumId w:val="1"/>
  </w:num>
  <w:num w:numId="15">
    <w:abstractNumId w:val="15"/>
  </w:num>
  <w:num w:numId="16">
    <w:abstractNumId w:val="19"/>
  </w:num>
  <w:num w:numId="17">
    <w:abstractNumId w:val="20"/>
  </w:num>
  <w:num w:numId="18">
    <w:abstractNumId w:val="7"/>
  </w:num>
  <w:num w:numId="19">
    <w:abstractNumId w:val="8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2"/>
    <w:link w:val="66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2"/>
    <w:link w:val="66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2"/>
    <w:link w:val="678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2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2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left="-1" w:hanging="1"/>
      <w:spacing w:before="100" w:after="100" w:line="1" w:lineRule="atLeast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0">
    <w:name w:val="Heading 1"/>
    <w:basedOn w:val="659"/>
    <w:next w:val="659"/>
    <w:link w:val="681"/>
    <w:uiPriority w:val="9"/>
    <w:qFormat/>
    <w:pPr>
      <w:keepLines/>
      <w:keepNext/>
      <w:spacing w:before="240" w:after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1">
    <w:name w:val="Heading 3"/>
    <w:basedOn w:val="659"/>
    <w:next w:val="659"/>
    <w:link w:val="675"/>
    <w:uiPriority w:val="99"/>
    <w:qFormat/>
    <w:pPr>
      <w:ind w:left="0" w:firstLine="0"/>
      <w:jc w:val="center"/>
      <w:keepNext/>
      <w:spacing w:before="0" w:after="0" w:line="240" w:lineRule="auto"/>
      <w:outlineLvl w:val="2"/>
    </w:pPr>
    <w:rPr>
      <w:sz w:val="20"/>
      <w:szCs w:val="20"/>
    </w:rPr>
  </w:style>
  <w:style w:type="character" w:styleId="662" w:default="1">
    <w:name w:val="Default Paragraph Font"/>
    <w:uiPriority w:val="1"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table" w:styleId="665">
    <w:name w:val="Table Grid"/>
    <w:basedOn w:val="6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Normal (Web)"/>
    <w:basedOn w:val="659"/>
    <w:uiPriority w:val="99"/>
    <w:unhideWhenUsed/>
    <w:pPr>
      <w:ind w:left="0" w:firstLine="0"/>
      <w:spacing w:beforeAutospacing="1" w:afterAutospacing="1" w:line="240" w:lineRule="auto"/>
      <w:outlineLvl w:val="9"/>
    </w:pPr>
  </w:style>
  <w:style w:type="character" w:styleId="668" w:customStyle="1">
    <w:name w:val="apple-tab-span"/>
    <w:basedOn w:val="662"/>
  </w:style>
  <w:style w:type="character" w:styleId="669">
    <w:name w:val="Placeholder Text"/>
    <w:basedOn w:val="662"/>
    <w:uiPriority w:val="99"/>
    <w:semiHidden/>
    <w:rPr>
      <w:color w:val="808080"/>
    </w:rPr>
  </w:style>
  <w:style w:type="paragraph" w:styleId="670">
    <w:name w:val="Balloon Text"/>
    <w:basedOn w:val="659"/>
    <w:link w:val="671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671" w:customStyle="1">
    <w:name w:val="Текст выноски Знак"/>
    <w:basedOn w:val="662"/>
    <w:link w:val="67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72" w:customStyle="1">
    <w:name w:val="Сетка таблицы1"/>
    <w:basedOn w:val="663"/>
    <w:next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3">
    <w:name w:val="Strong"/>
    <w:basedOn w:val="662"/>
    <w:qFormat/>
    <w:rPr>
      <w:b/>
      <w:bCs/>
    </w:rPr>
  </w:style>
  <w:style w:type="character" w:styleId="674" w:customStyle="1">
    <w:name w:val="apple-converted-space"/>
    <w:basedOn w:val="662"/>
  </w:style>
  <w:style w:type="character" w:styleId="675" w:customStyle="1">
    <w:name w:val="Заголовок 3 Знак"/>
    <w:basedOn w:val="662"/>
    <w:link w:val="661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676">
    <w:name w:val="Body Text Indent"/>
    <w:basedOn w:val="659"/>
    <w:link w:val="677"/>
    <w:uiPriority w:val="99"/>
    <w:semiHidden/>
    <w:pPr>
      <w:ind w:left="0" w:firstLine="567"/>
      <w:jc w:val="both"/>
      <w:spacing w:before="0" w:after="0" w:line="240" w:lineRule="auto"/>
      <w:outlineLvl w:val="9"/>
    </w:pPr>
    <w:rPr>
      <w:sz w:val="20"/>
      <w:szCs w:val="20"/>
    </w:rPr>
  </w:style>
  <w:style w:type="character" w:styleId="677" w:customStyle="1">
    <w:name w:val="Основной текст с отступом Знак"/>
    <w:basedOn w:val="662"/>
    <w:link w:val="67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78">
    <w:name w:val="Title"/>
    <w:basedOn w:val="659"/>
    <w:link w:val="679"/>
    <w:uiPriority w:val="10"/>
    <w:qFormat/>
    <w:pPr>
      <w:ind w:left="2907" w:right="3048" w:firstLine="1651"/>
      <w:spacing w:before="84" w:after="0" w:line="240" w:lineRule="auto"/>
      <w:widowControl w:val="off"/>
      <w:outlineLvl w:val="9"/>
    </w:pPr>
    <w:rPr>
      <w:sz w:val="40"/>
      <w:szCs w:val="40"/>
      <w:lang w:eastAsia="en-US"/>
    </w:rPr>
  </w:style>
  <w:style w:type="character" w:styleId="679" w:customStyle="1">
    <w:name w:val="Заголовок Знак"/>
    <w:basedOn w:val="662"/>
    <w:link w:val="678"/>
    <w:uiPriority w:val="10"/>
    <w:rPr>
      <w:rFonts w:ascii="Times New Roman" w:hAnsi="Times New Roman" w:eastAsia="Times New Roman" w:cs="Times New Roman"/>
      <w:sz w:val="40"/>
      <w:szCs w:val="40"/>
    </w:rPr>
  </w:style>
  <w:style w:type="paragraph" w:styleId="680" w:customStyle="1">
    <w:name w:val="Table Paragraph"/>
    <w:basedOn w:val="659"/>
    <w:uiPriority w:val="1"/>
    <w:qFormat/>
    <w:pPr>
      <w:ind w:left="0" w:firstLine="0"/>
      <w:spacing w:before="0" w:after="0" w:line="240" w:lineRule="auto"/>
      <w:widowControl w:val="off"/>
      <w:outlineLvl w:val="9"/>
    </w:pPr>
    <w:rPr>
      <w:sz w:val="22"/>
      <w:szCs w:val="22"/>
      <w:lang w:eastAsia="en-US"/>
    </w:rPr>
  </w:style>
  <w:style w:type="character" w:styleId="681" w:customStyle="1">
    <w:name w:val="Заголовок 1 Знак"/>
    <w:basedOn w:val="662"/>
    <w:link w:val="66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682" w:customStyle="1">
    <w:name w:val="Неразрешенное упоминание1"/>
    <w:basedOn w:val="662"/>
    <w:uiPriority w:val="99"/>
    <w:semiHidden/>
    <w:unhideWhenUsed/>
    <w:rPr>
      <w:color w:val="605e5c"/>
      <w:shd w:val="clear" w:color="auto" w:fill="e1dfdd"/>
    </w:rPr>
  </w:style>
  <w:style w:type="paragraph" w:styleId="683">
    <w:name w:val="No Spacing"/>
    <w:uiPriority w:val="1"/>
    <w:qFormat/>
    <w:pPr>
      <w:ind w:left="-1" w:hanging="1"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1F7C-B3BE-4963-BC92-3BFCA57F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Корнилецкий</cp:lastModifiedBy>
  <cp:revision>3</cp:revision>
  <dcterms:created xsi:type="dcterms:W3CDTF">2025-07-15T09:02:00Z</dcterms:created>
  <dcterms:modified xsi:type="dcterms:W3CDTF">2025-09-06T18:08:36Z</dcterms:modified>
</cp:coreProperties>
</file>